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39" w:rsidRPr="008D7C83" w:rsidRDefault="00657239" w:rsidP="00657239">
      <w:pPr>
        <w:jc w:val="center"/>
        <w:rPr>
          <w:b/>
          <w:sz w:val="28"/>
          <w:szCs w:val="28"/>
        </w:rPr>
      </w:pPr>
      <w:bookmarkStart w:id="0" w:name="_GoBack"/>
      <w:bookmarkEnd w:id="0"/>
      <w:r w:rsidRPr="008D7C83">
        <w:rPr>
          <w:b/>
          <w:sz w:val="28"/>
          <w:szCs w:val="28"/>
        </w:rPr>
        <w:t xml:space="preserve">Методика </w:t>
      </w:r>
    </w:p>
    <w:p w:rsidR="00657239" w:rsidRPr="008D7C83" w:rsidRDefault="00657239" w:rsidP="00657239">
      <w:pPr>
        <w:jc w:val="center"/>
        <w:rPr>
          <w:b/>
          <w:sz w:val="28"/>
          <w:szCs w:val="28"/>
        </w:rPr>
      </w:pPr>
      <w:r w:rsidRPr="008D7C83">
        <w:rPr>
          <w:b/>
          <w:sz w:val="28"/>
          <w:szCs w:val="28"/>
        </w:rPr>
        <w:t>проведения независимой оценки качества работы</w:t>
      </w:r>
    </w:p>
    <w:p w:rsidR="00657239" w:rsidRPr="008D7C83" w:rsidRDefault="00657239" w:rsidP="00657239">
      <w:pPr>
        <w:jc w:val="center"/>
        <w:rPr>
          <w:b/>
          <w:sz w:val="28"/>
          <w:szCs w:val="28"/>
        </w:rPr>
      </w:pPr>
      <w:r w:rsidRPr="008D7C83">
        <w:rPr>
          <w:b/>
          <w:sz w:val="28"/>
          <w:szCs w:val="28"/>
        </w:rPr>
        <w:t xml:space="preserve">образовательных организаций Алтайского края </w:t>
      </w:r>
    </w:p>
    <w:p w:rsidR="00657239" w:rsidRPr="008D7C83" w:rsidRDefault="00657239" w:rsidP="00657239">
      <w:pPr>
        <w:jc w:val="center"/>
        <w:rPr>
          <w:sz w:val="28"/>
          <w:szCs w:val="28"/>
        </w:rPr>
      </w:pPr>
    </w:p>
    <w:p w:rsidR="00657239" w:rsidRPr="008D7C83" w:rsidRDefault="00657239" w:rsidP="00657239">
      <w:pPr>
        <w:ind w:firstLine="708"/>
        <w:jc w:val="both"/>
        <w:rPr>
          <w:sz w:val="28"/>
          <w:szCs w:val="28"/>
        </w:rPr>
      </w:pPr>
      <w:r w:rsidRPr="008D7C83">
        <w:rPr>
          <w:b/>
          <w:sz w:val="28"/>
          <w:szCs w:val="28"/>
        </w:rPr>
        <w:t>Цель</w:t>
      </w:r>
      <w:r w:rsidRPr="008D7C83">
        <w:rPr>
          <w:sz w:val="28"/>
          <w:szCs w:val="28"/>
        </w:rPr>
        <w:t xml:space="preserve"> проведения независимых оценочных процедур: стимулирование повышения качества деятельности образовательных организаций; предоставление участникам отношений в сфере образования объективной информации об уровне организации работы образовательных организаций на основе общедоступной информации. </w:t>
      </w:r>
    </w:p>
    <w:p w:rsidR="00657239" w:rsidRPr="008D7C83" w:rsidRDefault="00657239" w:rsidP="00657239">
      <w:pPr>
        <w:ind w:firstLine="708"/>
        <w:jc w:val="both"/>
        <w:rPr>
          <w:sz w:val="28"/>
          <w:szCs w:val="28"/>
        </w:rPr>
      </w:pPr>
      <w:r w:rsidRPr="008D7C83">
        <w:rPr>
          <w:sz w:val="28"/>
          <w:szCs w:val="28"/>
        </w:rPr>
        <w:t xml:space="preserve">В соответствии с поставленной целью необходимо решить следующие </w:t>
      </w:r>
      <w:r w:rsidRPr="008D7C83">
        <w:rPr>
          <w:b/>
          <w:sz w:val="28"/>
          <w:szCs w:val="28"/>
        </w:rPr>
        <w:t>задачи:</w:t>
      </w:r>
    </w:p>
    <w:p w:rsidR="00657239" w:rsidRPr="008D7C83" w:rsidRDefault="00657239" w:rsidP="00657239">
      <w:pPr>
        <w:ind w:firstLine="709"/>
        <w:jc w:val="both"/>
        <w:rPr>
          <w:sz w:val="28"/>
          <w:szCs w:val="28"/>
        </w:rPr>
      </w:pPr>
      <w:r w:rsidRPr="008D7C83">
        <w:rPr>
          <w:sz w:val="28"/>
          <w:szCs w:val="28"/>
        </w:rPr>
        <w:t>оценить информационную открытость (доступность) деятельности образовательных организаций;</w:t>
      </w:r>
    </w:p>
    <w:p w:rsidR="00657239" w:rsidRPr="008D7C83" w:rsidRDefault="00657239" w:rsidP="00657239">
      <w:pPr>
        <w:ind w:firstLine="709"/>
        <w:jc w:val="both"/>
        <w:rPr>
          <w:sz w:val="28"/>
          <w:szCs w:val="28"/>
        </w:rPr>
      </w:pPr>
      <w:r w:rsidRPr="008D7C83">
        <w:rPr>
          <w:sz w:val="28"/>
          <w:szCs w:val="28"/>
        </w:rPr>
        <w:t>оценить комфортность условий, в которых осуществляется образовательная деятельность;</w:t>
      </w:r>
    </w:p>
    <w:p w:rsidR="00657239" w:rsidRPr="008D7C83" w:rsidRDefault="00657239" w:rsidP="00657239">
      <w:pPr>
        <w:ind w:firstLine="709"/>
        <w:jc w:val="both"/>
        <w:rPr>
          <w:sz w:val="28"/>
          <w:szCs w:val="28"/>
        </w:rPr>
      </w:pPr>
      <w:r w:rsidRPr="008D7C83">
        <w:rPr>
          <w:sz w:val="28"/>
          <w:szCs w:val="28"/>
        </w:rPr>
        <w:t>оценить доброжелательность, вежливость, компетентность работников образовательной организации;</w:t>
      </w:r>
    </w:p>
    <w:p w:rsidR="00657239" w:rsidRPr="008D7C83" w:rsidRDefault="00657239" w:rsidP="00657239">
      <w:pPr>
        <w:ind w:firstLine="709"/>
        <w:jc w:val="both"/>
        <w:rPr>
          <w:sz w:val="28"/>
          <w:szCs w:val="28"/>
        </w:rPr>
      </w:pPr>
      <w:r w:rsidRPr="008D7C83">
        <w:rPr>
          <w:sz w:val="28"/>
          <w:szCs w:val="28"/>
        </w:rPr>
        <w:t>оценить удовлетворенность получателей образовательных услуг качеством образовательной деятельности организаций;</w:t>
      </w:r>
    </w:p>
    <w:p w:rsidR="00657239" w:rsidRPr="008D7C83" w:rsidRDefault="00657239" w:rsidP="00657239">
      <w:pPr>
        <w:ind w:firstLine="709"/>
        <w:jc w:val="both"/>
        <w:rPr>
          <w:sz w:val="28"/>
          <w:szCs w:val="28"/>
        </w:rPr>
      </w:pPr>
      <w:r w:rsidRPr="008D7C83">
        <w:rPr>
          <w:sz w:val="28"/>
          <w:szCs w:val="28"/>
        </w:rPr>
        <w:t>составить рейтинг образовательных организаций по результатам оценочных процедур;</w:t>
      </w:r>
    </w:p>
    <w:p w:rsidR="00657239" w:rsidRPr="008D7C83" w:rsidRDefault="00657239" w:rsidP="00657239">
      <w:pPr>
        <w:ind w:firstLine="709"/>
        <w:jc w:val="both"/>
        <w:rPr>
          <w:sz w:val="28"/>
          <w:szCs w:val="28"/>
        </w:rPr>
      </w:pPr>
      <w:r w:rsidRPr="008D7C83">
        <w:rPr>
          <w:sz w:val="28"/>
          <w:szCs w:val="28"/>
        </w:rPr>
        <w:t>довести результаты независимой оценки качества деятельности образовательных организаций до руководителей организаций с целью принятия комплекса мер по совершенствованию деятельности организаций, подвергнутых независимой оценке;</w:t>
      </w:r>
    </w:p>
    <w:p w:rsidR="00657239" w:rsidRPr="008D7C83" w:rsidRDefault="00657239" w:rsidP="00657239">
      <w:pPr>
        <w:ind w:firstLine="709"/>
        <w:jc w:val="both"/>
        <w:rPr>
          <w:sz w:val="28"/>
          <w:szCs w:val="28"/>
        </w:rPr>
      </w:pPr>
      <w:r w:rsidRPr="008D7C83">
        <w:rPr>
          <w:sz w:val="28"/>
          <w:szCs w:val="28"/>
        </w:rPr>
        <w:t>довести результаты до учредителей образовательных организацией с целью принятия рекомендаций по совершенствованию деятельности образовательных организаций;</w:t>
      </w:r>
    </w:p>
    <w:p w:rsidR="00657239" w:rsidRPr="008D7C83" w:rsidRDefault="00657239" w:rsidP="00657239">
      <w:pPr>
        <w:ind w:firstLine="709"/>
        <w:jc w:val="both"/>
        <w:rPr>
          <w:sz w:val="28"/>
          <w:szCs w:val="28"/>
        </w:rPr>
      </w:pPr>
      <w:r w:rsidRPr="008D7C83">
        <w:rPr>
          <w:sz w:val="28"/>
          <w:szCs w:val="28"/>
        </w:rPr>
        <w:t>довести результаты независимой оценки до потребителей образовательных услуг и участников отношений в сфере образования.</w:t>
      </w:r>
    </w:p>
    <w:p w:rsidR="00657239" w:rsidRPr="008D7C83" w:rsidRDefault="00657239" w:rsidP="00657239">
      <w:pPr>
        <w:ind w:firstLine="708"/>
        <w:jc w:val="both"/>
        <w:rPr>
          <w:b/>
          <w:sz w:val="28"/>
          <w:szCs w:val="28"/>
        </w:rPr>
      </w:pPr>
      <w:r w:rsidRPr="008D7C83">
        <w:rPr>
          <w:b/>
          <w:sz w:val="28"/>
          <w:szCs w:val="28"/>
        </w:rPr>
        <w:t xml:space="preserve">Методы исследования: </w:t>
      </w:r>
    </w:p>
    <w:p w:rsidR="00657239" w:rsidRPr="008D7C83" w:rsidRDefault="00657239" w:rsidP="00657239">
      <w:pPr>
        <w:ind w:firstLine="708"/>
        <w:jc w:val="both"/>
        <w:rPr>
          <w:sz w:val="28"/>
          <w:szCs w:val="28"/>
        </w:rPr>
      </w:pPr>
      <w:r w:rsidRPr="008D7C83">
        <w:rPr>
          <w:sz w:val="28"/>
          <w:szCs w:val="28"/>
        </w:rPr>
        <w:t>контент-анализ  ̶  позволяет дать числовую оценку содержанию информационного источника;</w:t>
      </w:r>
    </w:p>
    <w:p w:rsidR="00657239" w:rsidRPr="008D7C83" w:rsidRDefault="00657239" w:rsidP="00657239">
      <w:pPr>
        <w:ind w:firstLine="708"/>
        <w:jc w:val="both"/>
        <w:rPr>
          <w:sz w:val="28"/>
          <w:szCs w:val="28"/>
        </w:rPr>
      </w:pPr>
      <w:r w:rsidRPr="008D7C83">
        <w:rPr>
          <w:sz w:val="28"/>
          <w:szCs w:val="28"/>
        </w:rPr>
        <w:t>открытое, включенное, стандартизированное наблюдение – позволяет получить информацию оперативно об объекте изучения, без опосредствующих звеньев при соблюдении четко формализованных процедур и инструментов;</w:t>
      </w:r>
    </w:p>
    <w:p w:rsidR="00657239" w:rsidRPr="008D7C83" w:rsidRDefault="00657239" w:rsidP="00657239">
      <w:pPr>
        <w:ind w:firstLine="708"/>
        <w:jc w:val="both"/>
        <w:rPr>
          <w:sz w:val="28"/>
          <w:szCs w:val="28"/>
        </w:rPr>
      </w:pPr>
      <w:r w:rsidRPr="008D7C83">
        <w:rPr>
          <w:sz w:val="28"/>
          <w:szCs w:val="28"/>
        </w:rPr>
        <w:t>анкетирование  ̶  позволяет в короткий срок получить большой объем информации.</w:t>
      </w:r>
    </w:p>
    <w:p w:rsidR="00657239" w:rsidRPr="008D7C83" w:rsidRDefault="00657239" w:rsidP="00657239">
      <w:pPr>
        <w:ind w:firstLine="708"/>
        <w:jc w:val="both"/>
        <w:rPr>
          <w:sz w:val="28"/>
          <w:szCs w:val="28"/>
        </w:rPr>
      </w:pPr>
      <w:r w:rsidRPr="008D7C83">
        <w:rPr>
          <w:b/>
          <w:sz w:val="28"/>
          <w:szCs w:val="28"/>
        </w:rPr>
        <w:t>Объект</w:t>
      </w:r>
      <w:r w:rsidRPr="008D7C83">
        <w:rPr>
          <w:sz w:val="28"/>
          <w:szCs w:val="28"/>
        </w:rPr>
        <w:t xml:space="preserve"> исследования </w:t>
      </w:r>
      <w:r>
        <w:rPr>
          <w:sz w:val="28"/>
          <w:szCs w:val="28"/>
        </w:rPr>
        <w:t xml:space="preserve">- </w:t>
      </w:r>
      <w:r w:rsidRPr="008D7C83">
        <w:rPr>
          <w:sz w:val="28"/>
          <w:szCs w:val="28"/>
        </w:rPr>
        <w:t xml:space="preserve">образовательные организации. </w:t>
      </w:r>
    </w:p>
    <w:p w:rsidR="00657239" w:rsidRPr="008D7C83" w:rsidRDefault="00657239" w:rsidP="00657239">
      <w:pPr>
        <w:ind w:firstLine="708"/>
        <w:jc w:val="both"/>
        <w:rPr>
          <w:sz w:val="28"/>
          <w:szCs w:val="28"/>
        </w:rPr>
      </w:pPr>
      <w:r w:rsidRPr="008D7C83">
        <w:rPr>
          <w:b/>
          <w:sz w:val="28"/>
          <w:szCs w:val="28"/>
        </w:rPr>
        <w:t xml:space="preserve">Основание формирования перечня образовательных организаций </w:t>
      </w:r>
      <w:r w:rsidRPr="008D7C83">
        <w:rPr>
          <w:sz w:val="28"/>
          <w:szCs w:val="28"/>
        </w:rPr>
        <w:t xml:space="preserve">для участия в независимой оценке качества образования: </w:t>
      </w:r>
    </w:p>
    <w:p w:rsidR="00657239" w:rsidRPr="008D7C83" w:rsidRDefault="00657239" w:rsidP="00657239">
      <w:pPr>
        <w:ind w:firstLine="708"/>
        <w:jc w:val="both"/>
        <w:rPr>
          <w:sz w:val="28"/>
          <w:szCs w:val="28"/>
        </w:rPr>
      </w:pPr>
      <w:r w:rsidRPr="008D7C83">
        <w:rPr>
          <w:sz w:val="28"/>
          <w:szCs w:val="28"/>
        </w:rPr>
        <w:t>требования федерального законодательства к периодичности прохождения независимой оценки всеми образовательными организациями Алтайского края (не реже 1 раза в три года);</w:t>
      </w:r>
    </w:p>
    <w:p w:rsidR="00657239" w:rsidRPr="008D7C83" w:rsidRDefault="00657239" w:rsidP="00657239">
      <w:pPr>
        <w:ind w:firstLine="708"/>
        <w:jc w:val="both"/>
        <w:rPr>
          <w:sz w:val="28"/>
          <w:szCs w:val="28"/>
        </w:rPr>
      </w:pPr>
      <w:r w:rsidRPr="008D7C83">
        <w:rPr>
          <w:sz w:val="28"/>
          <w:szCs w:val="28"/>
        </w:rPr>
        <w:lastRenderedPageBreak/>
        <w:t>установка на минимальную ресурсоемкость и трудоемкость;</w:t>
      </w:r>
    </w:p>
    <w:p w:rsidR="00657239" w:rsidRPr="008D7C83" w:rsidRDefault="00657239" w:rsidP="00657239">
      <w:pPr>
        <w:ind w:firstLine="708"/>
        <w:jc w:val="both"/>
        <w:rPr>
          <w:sz w:val="28"/>
          <w:szCs w:val="28"/>
        </w:rPr>
      </w:pPr>
      <w:r w:rsidRPr="008D7C83">
        <w:rPr>
          <w:sz w:val="28"/>
          <w:szCs w:val="28"/>
        </w:rPr>
        <w:t>учет целостности муниципальных образований.</w:t>
      </w:r>
    </w:p>
    <w:p w:rsidR="00657239" w:rsidRPr="008D7C83" w:rsidRDefault="00657239" w:rsidP="00657239">
      <w:pPr>
        <w:ind w:firstLine="708"/>
        <w:jc w:val="both"/>
        <w:rPr>
          <w:sz w:val="28"/>
          <w:szCs w:val="28"/>
        </w:rPr>
      </w:pPr>
    </w:p>
    <w:p w:rsidR="00657239" w:rsidRPr="008D7C83" w:rsidRDefault="00657239" w:rsidP="00657239">
      <w:pPr>
        <w:ind w:firstLine="708"/>
        <w:rPr>
          <w:sz w:val="28"/>
          <w:szCs w:val="28"/>
        </w:rPr>
      </w:pPr>
      <w:r w:rsidRPr="008D7C83">
        <w:rPr>
          <w:b/>
          <w:sz w:val="28"/>
          <w:szCs w:val="28"/>
        </w:rPr>
        <w:t>Принципы</w:t>
      </w:r>
      <w:r w:rsidRPr="008D7C83">
        <w:rPr>
          <w:sz w:val="28"/>
          <w:szCs w:val="28"/>
        </w:rPr>
        <w:t xml:space="preserve"> рейтингования:</w:t>
      </w:r>
    </w:p>
    <w:p w:rsidR="00657239" w:rsidRPr="008D7C83" w:rsidRDefault="00657239" w:rsidP="00657239">
      <w:pPr>
        <w:ind w:firstLine="708"/>
        <w:contextualSpacing/>
        <w:jc w:val="both"/>
        <w:rPr>
          <w:sz w:val="28"/>
          <w:szCs w:val="28"/>
        </w:rPr>
      </w:pPr>
      <w:r w:rsidRPr="008D7C83">
        <w:rPr>
          <w:sz w:val="28"/>
          <w:szCs w:val="28"/>
        </w:rPr>
        <w:t>ориентация на целевую аудиторию (потребители образовательных услуг, руководители и родительская общественность образовательных организаций, учредители образовательных организаций);</w:t>
      </w:r>
    </w:p>
    <w:p w:rsidR="00657239" w:rsidRPr="008D7C83" w:rsidRDefault="00657239" w:rsidP="00657239">
      <w:pPr>
        <w:ind w:firstLine="708"/>
        <w:contextualSpacing/>
        <w:jc w:val="both"/>
        <w:rPr>
          <w:sz w:val="28"/>
          <w:szCs w:val="28"/>
        </w:rPr>
      </w:pPr>
      <w:r w:rsidRPr="008D7C83">
        <w:rPr>
          <w:sz w:val="28"/>
          <w:szCs w:val="28"/>
        </w:rPr>
        <w:t>учет разнообразия условий работы муниципалитетов (выделение кластеров сельских и городских образовательных организаций);</w:t>
      </w:r>
    </w:p>
    <w:p w:rsidR="00657239" w:rsidRPr="008D7C83" w:rsidRDefault="00657239" w:rsidP="00657239">
      <w:pPr>
        <w:ind w:left="720"/>
        <w:contextualSpacing/>
        <w:jc w:val="both"/>
        <w:rPr>
          <w:sz w:val="28"/>
          <w:szCs w:val="28"/>
        </w:rPr>
      </w:pPr>
      <w:r w:rsidRPr="008D7C83">
        <w:rPr>
          <w:sz w:val="28"/>
          <w:szCs w:val="28"/>
        </w:rPr>
        <w:t>соблюдение этических стандартов;</w:t>
      </w:r>
    </w:p>
    <w:p w:rsidR="00657239" w:rsidRPr="008D7C83" w:rsidRDefault="00657239" w:rsidP="00657239">
      <w:pPr>
        <w:ind w:left="720"/>
        <w:contextualSpacing/>
        <w:jc w:val="both"/>
        <w:rPr>
          <w:sz w:val="28"/>
          <w:szCs w:val="28"/>
        </w:rPr>
      </w:pPr>
      <w:r w:rsidRPr="008D7C83">
        <w:rPr>
          <w:sz w:val="28"/>
          <w:szCs w:val="28"/>
        </w:rPr>
        <w:t>открытость информации о методике рейтингования.</w:t>
      </w:r>
    </w:p>
    <w:p w:rsidR="00657239" w:rsidRPr="008D7C83" w:rsidRDefault="00657239" w:rsidP="00657239">
      <w:pPr>
        <w:ind w:left="720"/>
        <w:contextualSpacing/>
        <w:jc w:val="both"/>
        <w:rPr>
          <w:sz w:val="28"/>
          <w:szCs w:val="28"/>
        </w:rPr>
      </w:pPr>
    </w:p>
    <w:p w:rsidR="00657239" w:rsidRPr="008D7C83" w:rsidRDefault="00657239" w:rsidP="00657239">
      <w:pPr>
        <w:ind w:left="720" w:hanging="12"/>
        <w:contextualSpacing/>
        <w:jc w:val="both"/>
        <w:rPr>
          <w:b/>
          <w:sz w:val="28"/>
          <w:szCs w:val="28"/>
        </w:rPr>
      </w:pPr>
      <w:r w:rsidRPr="008D7C83">
        <w:rPr>
          <w:b/>
          <w:sz w:val="28"/>
          <w:szCs w:val="28"/>
        </w:rPr>
        <w:t>Основные понятия:</w:t>
      </w:r>
    </w:p>
    <w:p w:rsidR="00657239" w:rsidRPr="008D7C83" w:rsidRDefault="00657239" w:rsidP="00657239">
      <w:pPr>
        <w:ind w:firstLine="708"/>
        <w:jc w:val="both"/>
        <w:rPr>
          <w:sz w:val="28"/>
          <w:szCs w:val="28"/>
        </w:rPr>
      </w:pPr>
      <w:r w:rsidRPr="008D7C83">
        <w:rPr>
          <w:b/>
          <w:sz w:val="28"/>
          <w:szCs w:val="28"/>
        </w:rPr>
        <w:t xml:space="preserve"> «</w:t>
      </w:r>
      <w:r w:rsidRPr="008D7C83">
        <w:rPr>
          <w:rFonts w:eastAsia="Calibri"/>
          <w:b/>
          <w:sz w:val="28"/>
          <w:szCs w:val="28"/>
        </w:rPr>
        <w:t>рейтинг</w:t>
      </w:r>
      <w:r w:rsidRPr="008D7C83">
        <w:rPr>
          <w:b/>
          <w:sz w:val="28"/>
          <w:szCs w:val="28"/>
        </w:rPr>
        <w:t>»</w:t>
      </w:r>
      <w:r w:rsidRPr="008D7C83">
        <w:rPr>
          <w:sz w:val="28"/>
          <w:szCs w:val="28"/>
        </w:rPr>
        <w:t xml:space="preserve">  ̶  это форма представления результатов оценки деятельности образовательных организаций или систем, при которой участники рейтинга размещаются в определенной последовательности в зависимости от оценок, полученных по различным показателям их деятельности;</w:t>
      </w:r>
    </w:p>
    <w:p w:rsidR="00657239" w:rsidRPr="008D7C83" w:rsidRDefault="00657239" w:rsidP="00657239">
      <w:pPr>
        <w:ind w:firstLine="708"/>
        <w:jc w:val="both"/>
        <w:rPr>
          <w:sz w:val="28"/>
          <w:szCs w:val="28"/>
        </w:rPr>
      </w:pPr>
      <w:r w:rsidRPr="008D7C83">
        <w:rPr>
          <w:b/>
          <w:sz w:val="28"/>
          <w:szCs w:val="28"/>
        </w:rPr>
        <w:t xml:space="preserve"> «рэнкинг»</w:t>
      </w:r>
      <w:r w:rsidRPr="008D7C83">
        <w:rPr>
          <w:sz w:val="28"/>
          <w:szCs w:val="28"/>
        </w:rPr>
        <w:t xml:space="preserve">  ̶  это форма представления результатов оценки деятельности образовательных организаций или систем, при которой участников рэнкинга можно упорядочить по любому из имеющихся показателей. Это база данных для получения всех интересующих вариантов ранжирования исходного списка.</w:t>
      </w:r>
    </w:p>
    <w:p w:rsidR="00657239" w:rsidRPr="008D7C83" w:rsidRDefault="00657239" w:rsidP="00657239">
      <w:pPr>
        <w:ind w:firstLine="708"/>
        <w:jc w:val="both"/>
        <w:rPr>
          <w:b/>
          <w:sz w:val="28"/>
          <w:szCs w:val="28"/>
        </w:rPr>
      </w:pPr>
    </w:p>
    <w:p w:rsidR="00657239" w:rsidRPr="008D7C83" w:rsidRDefault="00657239" w:rsidP="00657239">
      <w:pPr>
        <w:tabs>
          <w:tab w:val="left" w:pos="4820"/>
          <w:tab w:val="left" w:pos="4962"/>
        </w:tabs>
        <w:ind w:firstLine="708"/>
        <w:jc w:val="both"/>
        <w:rPr>
          <w:sz w:val="28"/>
          <w:szCs w:val="28"/>
        </w:rPr>
      </w:pPr>
      <w:r w:rsidRPr="008D7C83">
        <w:rPr>
          <w:b/>
          <w:sz w:val="28"/>
          <w:szCs w:val="28"/>
        </w:rPr>
        <w:t xml:space="preserve">Расчет значений показателей  ̶   </w:t>
      </w:r>
      <w:r w:rsidRPr="008D7C83">
        <w:rPr>
          <w:sz w:val="28"/>
          <w:szCs w:val="28"/>
        </w:rPr>
        <w:t xml:space="preserve">по критериям «Информационная открытость (доступность) деятельности организации», «Комфортность условий образовательных организаций» суммируются баллы по каждому показателю, затем по каждому критерию; по критериям «Доброжелательность, вежливость, компетентность работников образовательной организации», «Удовлетворенность получателей образовательных услуг качеством деятельности образовательной организации» доля положительно оценивающих/удовлетворенных респондентов рассчитывается из числа респондентов ответивших «да, полностью согласен» и «скорее всего, да». </w:t>
      </w:r>
    </w:p>
    <w:p w:rsidR="00657239" w:rsidRPr="008D7C83" w:rsidRDefault="00657239" w:rsidP="00657239">
      <w:pPr>
        <w:tabs>
          <w:tab w:val="left" w:pos="4820"/>
          <w:tab w:val="left" w:pos="4962"/>
        </w:tabs>
        <w:ind w:firstLine="708"/>
        <w:jc w:val="both"/>
        <w:rPr>
          <w:sz w:val="28"/>
          <w:szCs w:val="28"/>
        </w:rPr>
      </w:pPr>
      <w:r w:rsidRPr="008D7C83">
        <w:rPr>
          <w:sz w:val="28"/>
          <w:szCs w:val="28"/>
        </w:rPr>
        <w:t>По показателю «Доля получателей образовательных услуг, удовлетворенных материально-техническим обеспечением организации» доля удовлетворенных рассчитывается из числа тех, кто удовлетворен половиной и более объектов инфраструктуры организации. Затем проценты переводятся в баллы путем деления на 10 и находится сумма баллов по каждому показателю, затем по каждому критерию. Сумма баллов по всем критериям составляет рейтинговую оценку образовательной организации.</w:t>
      </w:r>
    </w:p>
    <w:p w:rsidR="00657239" w:rsidRPr="008D7C83" w:rsidRDefault="00657239" w:rsidP="00657239">
      <w:pPr>
        <w:ind w:firstLine="708"/>
        <w:jc w:val="both"/>
        <w:rPr>
          <w:sz w:val="28"/>
          <w:szCs w:val="28"/>
        </w:rPr>
      </w:pPr>
      <w:r w:rsidRPr="008D7C83">
        <w:rPr>
          <w:b/>
          <w:sz w:val="28"/>
          <w:szCs w:val="28"/>
        </w:rPr>
        <w:t xml:space="preserve">Подходы к упорядочиванию объектов  ̶ </w:t>
      </w:r>
      <w:r w:rsidRPr="008D7C83">
        <w:rPr>
          <w:sz w:val="28"/>
          <w:szCs w:val="28"/>
        </w:rPr>
        <w:t xml:space="preserve"> строится</w:t>
      </w:r>
      <w:r w:rsidRPr="008D7C83">
        <w:rPr>
          <w:b/>
          <w:sz w:val="28"/>
          <w:szCs w:val="28"/>
        </w:rPr>
        <w:t xml:space="preserve"> </w:t>
      </w:r>
      <w:r w:rsidRPr="008D7C83">
        <w:rPr>
          <w:sz w:val="28"/>
          <w:szCs w:val="28"/>
        </w:rPr>
        <w:t xml:space="preserve">общий рейтинг по совокупности показателей в разрезе типов образовательных организаций, рейтинг в разрезе типов поселений (сельские и городские муниципальные </w:t>
      </w:r>
      <w:r w:rsidRPr="008D7C83">
        <w:rPr>
          <w:sz w:val="28"/>
          <w:szCs w:val="28"/>
        </w:rPr>
        <w:lastRenderedPageBreak/>
        <w:t>образования). Предоставляется возможность самостоятельного рейтингования по выбранным показателям на основе базы данных.</w:t>
      </w:r>
    </w:p>
    <w:p w:rsidR="00657239" w:rsidRPr="008D7C83" w:rsidRDefault="00657239" w:rsidP="00657239">
      <w:pPr>
        <w:ind w:left="720"/>
        <w:contextualSpacing/>
        <w:jc w:val="both"/>
        <w:rPr>
          <w:sz w:val="28"/>
          <w:szCs w:val="28"/>
        </w:rPr>
      </w:pPr>
    </w:p>
    <w:p w:rsidR="00657239" w:rsidRPr="008D7C83" w:rsidRDefault="00657239" w:rsidP="00657239">
      <w:pPr>
        <w:spacing w:after="100" w:afterAutospacing="1"/>
        <w:ind w:firstLine="708"/>
        <w:contextualSpacing/>
        <w:jc w:val="both"/>
        <w:rPr>
          <w:sz w:val="28"/>
          <w:szCs w:val="28"/>
        </w:rPr>
      </w:pPr>
      <w:r w:rsidRPr="008D7C83">
        <w:rPr>
          <w:b/>
          <w:sz w:val="28"/>
          <w:szCs w:val="28"/>
        </w:rPr>
        <w:t>Представление результатов</w:t>
      </w:r>
      <w:r w:rsidRPr="008D7C83">
        <w:rPr>
          <w:sz w:val="28"/>
          <w:szCs w:val="28"/>
        </w:rPr>
        <w:t xml:space="preserve">. Результаты представляются  на заседании Общественного совета по развитию образования, размещаются на сайтах Главного управления образования и молодежной политики Алтайского края, Алтайского краевого информационно-аналитического центра, сайтах муниципальных органов управления образованием и сайте для размещения информации о государственных (муниципальных) учреждениях </w:t>
      </w:r>
      <w:hyperlink r:id="rId5" w:history="1">
        <w:r w:rsidRPr="008D7C83">
          <w:rPr>
            <w:color w:val="0563C1"/>
            <w:sz w:val="28"/>
            <w:szCs w:val="28"/>
            <w:u w:val="single"/>
          </w:rPr>
          <w:t>http://bus.gov.ru</w:t>
        </w:r>
      </w:hyperlink>
      <w:r w:rsidRPr="008D7C83">
        <w:rPr>
          <w:sz w:val="28"/>
          <w:szCs w:val="28"/>
        </w:rPr>
        <w:t xml:space="preserve">. </w:t>
      </w:r>
    </w:p>
    <w:p w:rsidR="00657239" w:rsidRPr="008D7C83" w:rsidRDefault="00657239" w:rsidP="00657239">
      <w:pPr>
        <w:spacing w:after="100" w:afterAutospacing="1"/>
        <w:ind w:firstLine="708"/>
        <w:contextualSpacing/>
        <w:jc w:val="both"/>
        <w:rPr>
          <w:sz w:val="28"/>
          <w:szCs w:val="28"/>
        </w:rPr>
      </w:pPr>
      <w:r w:rsidRPr="008D7C83">
        <w:rPr>
          <w:b/>
          <w:sz w:val="28"/>
          <w:szCs w:val="28"/>
        </w:rPr>
        <w:t>Дальнейшее развитие мониторинга предполагается по следующим направлениям:</w:t>
      </w:r>
      <w:r w:rsidRPr="008D7C83">
        <w:rPr>
          <w:sz w:val="28"/>
          <w:szCs w:val="28"/>
        </w:rPr>
        <w:t xml:space="preserve"> в течение трех лет методика остается неизменной с целью выстраивания рейтинга по результатам процедуры; индикаторы, по которым достигнуты значения во всех образовательных организациях, заменяются на новые с целью совершенствования  деятельности образовательных организаций.</w:t>
      </w:r>
    </w:p>
    <w:p w:rsidR="00312C95" w:rsidRDefault="00312C95"/>
    <w:sectPr w:rsidR="00312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57"/>
    <w:rsid w:val="002C6257"/>
    <w:rsid w:val="00312C95"/>
    <w:rsid w:val="00657239"/>
    <w:rsid w:val="0091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3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39"/>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dc:creator>
  <cp:lastModifiedBy>User</cp:lastModifiedBy>
  <cp:revision>2</cp:revision>
  <dcterms:created xsi:type="dcterms:W3CDTF">2017-12-08T04:25:00Z</dcterms:created>
  <dcterms:modified xsi:type="dcterms:W3CDTF">2017-12-08T04:25:00Z</dcterms:modified>
</cp:coreProperties>
</file>