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1E" w:rsidRPr="00C03D9C" w:rsidRDefault="0044391E" w:rsidP="0044391E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44391E" w:rsidRPr="00C03D9C" w:rsidRDefault="0044391E" w:rsidP="0044391E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44391E" w:rsidRPr="00C03D9C" w:rsidRDefault="0044391E" w:rsidP="0044391E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44391E" w:rsidRPr="00C03D9C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03D9C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(КГБПОУ «ТАТТ»)</w:t>
      </w:r>
    </w:p>
    <w:p w:rsidR="0044391E" w:rsidRDefault="0044391E"/>
    <w:p w:rsidR="0044391E" w:rsidRDefault="0044391E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44391E" w:rsidRPr="0044391E" w:rsidTr="0044391E">
        <w:tc>
          <w:tcPr>
            <w:tcW w:w="4501" w:type="dxa"/>
            <w:shd w:val="clear" w:color="auto" w:fill="auto"/>
          </w:tcPr>
          <w:p w:rsidR="0044391E" w:rsidRPr="0044391E" w:rsidRDefault="0044391E" w:rsidP="004439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44391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44391E" w:rsidRPr="0044391E" w:rsidTr="0044391E">
        <w:tc>
          <w:tcPr>
            <w:tcW w:w="4501" w:type="dxa"/>
            <w:shd w:val="clear" w:color="auto" w:fill="auto"/>
          </w:tcPr>
          <w:p w:rsidR="0044391E" w:rsidRPr="0044391E" w:rsidRDefault="0044391E" w:rsidP="004439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44391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44391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44391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44391E" w:rsidRPr="0044391E" w:rsidRDefault="0044391E" w:rsidP="004439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44391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4391E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4391E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4391E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ОП.11 Бизнес-планирование</w:t>
      </w: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44391E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44391E" w:rsidRPr="0044391E" w:rsidRDefault="0044391E" w:rsidP="0044391E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44391E" w:rsidRPr="0044391E" w:rsidRDefault="0044391E" w:rsidP="0044391E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44391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44391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39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44391E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ОП.11 бизнес-планирование    </w:t>
      </w:r>
      <w:r w:rsidRPr="00443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4439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39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391E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44391E" w:rsidRPr="0044391E" w:rsidRDefault="0044391E" w:rsidP="00443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391E" w:rsidRPr="0044391E" w:rsidRDefault="0044391E" w:rsidP="0044391E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391E" w:rsidRPr="0044391E" w:rsidTr="001C0488">
        <w:tc>
          <w:tcPr>
            <w:tcW w:w="4785" w:type="dxa"/>
            <w:vMerge w:val="restart"/>
          </w:tcPr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44391E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44391E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»________2016 г.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44391E" w:rsidRPr="0044391E" w:rsidTr="001C0488">
        <w:tc>
          <w:tcPr>
            <w:tcW w:w="0" w:type="auto"/>
            <w:vMerge/>
            <w:vAlign w:val="center"/>
            <w:hideMark/>
          </w:tcPr>
          <w:p w:rsidR="0044391E" w:rsidRPr="0044391E" w:rsidRDefault="0044391E" w:rsidP="0044391E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>от «___» ________________ 2016 г.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44391E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44391E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44391E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91E" w:rsidRPr="0044391E" w:rsidTr="001C0488">
        <w:trPr>
          <w:trHeight w:val="80"/>
        </w:trPr>
        <w:tc>
          <w:tcPr>
            <w:tcW w:w="4785" w:type="dxa"/>
            <w:vMerge w:val="restart"/>
          </w:tcPr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4391E" w:rsidRPr="0044391E" w:rsidRDefault="0044391E" w:rsidP="0044391E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44391E" w:rsidRPr="0044391E" w:rsidRDefault="0044391E" w:rsidP="004439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F4537" w:rsidRDefault="008F4537" w:rsidP="008F4537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8F4537" w:rsidRPr="00D60992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F4537" w:rsidRPr="00D60992" w:rsidTr="008F4537">
        <w:tc>
          <w:tcPr>
            <w:tcW w:w="7668" w:type="dxa"/>
          </w:tcPr>
          <w:p w:rsidR="008F4537" w:rsidRPr="00D60992" w:rsidRDefault="008F4537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D60992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6099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8F4537" w:rsidRPr="00D60992" w:rsidTr="008F4537">
        <w:tc>
          <w:tcPr>
            <w:tcW w:w="7668" w:type="dxa"/>
          </w:tcPr>
          <w:p w:rsidR="008F4537" w:rsidRPr="00D60992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ПАСПОРТ </w:t>
            </w:r>
            <w:r w:rsidR="003F1604"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рабочей</w:t>
            </w:r>
            <w:r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ПРОГРАММЫ УЧЕБНОЙ ДИСЦИПЛИНЫ</w:t>
            </w:r>
          </w:p>
          <w:p w:rsidR="008F4537" w:rsidRPr="00D60992" w:rsidRDefault="008F453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D60992" w:rsidRDefault="00D6099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F4537" w:rsidRPr="00D60992" w:rsidTr="008F4537">
        <w:tc>
          <w:tcPr>
            <w:tcW w:w="7668" w:type="dxa"/>
          </w:tcPr>
          <w:p w:rsidR="008F4537" w:rsidRPr="00D60992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8F4537" w:rsidRPr="00D60992" w:rsidRDefault="008F453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D60992" w:rsidRDefault="00D6099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F4537" w:rsidRPr="00D60992" w:rsidTr="008F4537">
        <w:trPr>
          <w:trHeight w:val="670"/>
        </w:trPr>
        <w:tc>
          <w:tcPr>
            <w:tcW w:w="7668" w:type="dxa"/>
          </w:tcPr>
          <w:p w:rsidR="008F4537" w:rsidRPr="00D60992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условия реализации </w:t>
            </w:r>
            <w:r w:rsidR="003F1604"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рабочей</w:t>
            </w:r>
            <w:r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 программы учебной дисциплины</w:t>
            </w:r>
          </w:p>
          <w:p w:rsidR="008F4537" w:rsidRPr="00D60992" w:rsidRDefault="008F453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D60992" w:rsidRDefault="00D6099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8F4537" w:rsidRPr="00D60992" w:rsidTr="008F4537">
        <w:tc>
          <w:tcPr>
            <w:tcW w:w="7668" w:type="dxa"/>
          </w:tcPr>
          <w:p w:rsidR="008F4537" w:rsidRPr="00D60992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6099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8F4537" w:rsidRPr="00D60992" w:rsidRDefault="008F453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D60992" w:rsidRDefault="008F4537" w:rsidP="00D6099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6099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6099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8F4537" w:rsidRDefault="008F4537" w:rsidP="008F453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 xml:space="preserve">1. паспорт </w:t>
      </w:r>
      <w:r w:rsidR="003F1604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t xml:space="preserve">Рабочей </w:t>
      </w: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t xml:space="preserve"> ПРОГРАММЫ УЧЕБНОЙ ДИСЦИПЛИНЫ</w:t>
      </w:r>
    </w:p>
    <w:p w:rsidR="008F4537" w:rsidRDefault="001C06B0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ОП.11 </w:t>
      </w:r>
      <w:r w:rsidR="008F4537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Бизнес-планирование</w:t>
      </w:r>
    </w:p>
    <w:p w:rsidR="008F4537" w:rsidRDefault="008F4537" w:rsidP="008F45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8F4537" w:rsidRDefault="008F4537" w:rsidP="008F4537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</w:t>
      </w:r>
      <w:r w:rsidR="003F160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Рабочая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программа учебной дисциплины является частью </w:t>
      </w:r>
      <w:r w:rsidR="00D60992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38.02.01 Экономика и бухгалтерский учет (по отраслям).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составлять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бизнес-проекты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8F4537" w:rsidRDefault="008F4537" w:rsidP="008F4537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сущность и значение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бизнес-планирования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8F4537" w:rsidRDefault="008F4537" w:rsidP="008F4537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-структуру бизнес-плана.</w:t>
      </w:r>
    </w:p>
    <w:p w:rsidR="008F4537" w:rsidRDefault="008F4537" w:rsidP="008F4537">
      <w:pPr>
        <w:suppressAutoHyphens/>
        <w:spacing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Рекомендуемое количество часов на освоение программы дисциплины: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85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170314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10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170314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75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3F1604" w:rsidRDefault="003F1604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3F1604" w:rsidRDefault="003F1604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 СТРУКТУРА И  СОДЕРЖАНИЕ УЧЕБНОЙ ДИСЦИПЛИНЫ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8F4537" w:rsidTr="003F1604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8F4537" w:rsidTr="003F1604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85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17031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10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17031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9A693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75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8F4537" w:rsidRDefault="008F453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8F4537" w:rsidRDefault="008F453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8F4537" w:rsidRDefault="009A6935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75</w:t>
            </w:r>
          </w:p>
        </w:tc>
      </w:tr>
      <w:tr w:rsidR="008F4537" w:rsidTr="003F1604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 w:rsidP="009A6935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9A693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A693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диф</w:t>
            </w:r>
            <w:proofErr w:type="spellEnd"/>
            <w:r w:rsidR="009A693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. зачет</w:t>
            </w:r>
          </w:p>
        </w:tc>
      </w:tr>
    </w:tbl>
    <w:p w:rsidR="008F4537" w:rsidRDefault="008F4537" w:rsidP="008F4537">
      <w:pPr>
        <w:spacing w:after="0"/>
        <w:rPr>
          <w:rFonts w:ascii="Times New Roman" w:eastAsia="Calibri" w:hAnsi="Times New Roman" w:cs="Calibri"/>
          <w:lang w:eastAsia="ar-SA"/>
        </w:rPr>
        <w:sectPr w:rsidR="008F4537" w:rsidSect="0044391E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</w:t>
      </w:r>
      <w:r w:rsidR="003F160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Тематический план 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содержание учебной дисциплины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«Бизнес-планирование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9786"/>
        <w:gridCol w:w="1408"/>
        <w:gridCol w:w="236"/>
      </w:tblGrid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1. Бизнес-планирование как элемент экономической политики организации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Сущность, цель и задачи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бизнес-планирования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в рыночной экономике. Классификация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бизнес-проектов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по типам, классам, масштабам, длительности и сложности. Инвестиционные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бизнес-проекты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Организационные проекты.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Экономические и социальные проекты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Порядок разработки бизнес-плана.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 Структура и функции бизнес-плана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Формирование проектного предложения (бизнеса). Структура бизнес-плана: резюме, меморандум о конфиденциальности проекта, описание продукции, организационный раздел, раздел маркетинга, производственный раздел, финансовый раздел, риски и гарантии. </w:t>
            </w:r>
          </w:p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Информационное обеспечение проекта. Приложения к бизнес-плану.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Тема 3.Сведения о предприятии и отрасли.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Общие сведения о предприятии. История предприятия. Финансово-экономические показатели деятельности предприятия. Месторасположение. Структура управления. Кадровый состав. Направления деятельности и опыт. Перспективы развития предприятия. Отрасль экономики и ее перспективы. Вклад предприятия в развитие региона, общественная и социальная активность.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Тема 4. Описание продукции. 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продукции.  Назначение, область применения, перспективы выпуска. Возможность экспорта или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импортазамещения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 Краткое описание и основные характеристики. Конкурентоспособность продукции. Возможности повышения конкурентоспособности. Патентоспособность и авторские права. Степень готовности. Наличие сертификата качества продукции. Безопасность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экологичность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Условия поставки и упаковка. Гарантии и сервис. Эксплуатация. Утилизация. Особенности налогов.</w:t>
            </w:r>
          </w:p>
          <w:p w:rsidR="00D60992" w:rsidRDefault="00D60992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5. Маркетинг и сбыт продукции.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Требования к потребительским свойствам продукции. Конкуренция. Рынок сбыта продукции. Цена продукции. Каналы сбыта продукции. Стратегии продвижения на рынок. Ценовая политика.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6. Производственный план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Месторасположение и земля. Обеспеченность земельными площадями. Возможные альтернативы расположения. Технология, качество и сертификация производства. Циклограмма производства и реализации продукции. Производственные площади и помещения. Оборудование, оснастка и инструмент. Комплектующие и материалы. Кадровое обеспечение. Транспорт и связь, энергетическое и инженерное обеспечение.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Экологичность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безопасность производства.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7. Организационный план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Команда управления и ведущие специалисты. Правовое обеспечение. Партнеры по реализации проекта. Поддержка и льготы. Организационная структура реализации проекта. График реализации проекта. Характеристика активов.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8. Финансовое планирование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Нормативы для финансово-экономических расчетов. Расходы на персонал. Прямые расходы на производство продукции. Постоянные расходы на производство продукции. Калькуляции себестоимости продукции. Смета затрат на проект. Отчет о прибылях и убытках.  Поток реальных денег. Прогнозный баланс. Источники финансирования и выплат.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9. Направленность и эффективность проекта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Направленность проекта. Значимость (масштабность проекта). Показатели эффективности реализации проекта. Анализ чувствительности проекта.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10. Риски и гарантии.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9A6935" w:rsidP="009A693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Риски предприятия и меры предупреждения. Форс-мажорные обстоятельства. Гарантии партнерам и инвесторам.</w:t>
            </w:r>
          </w:p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1-19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Разработка бизнес-идеи</w:t>
            </w:r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proofErr w:type="spellStart"/>
            <w:proofErr w:type="gramStart"/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ауд</w:t>
            </w:r>
            <w:proofErr w:type="spellEnd"/>
            <w:proofErr w:type="gramEnd"/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1 «Резюме проекта»</w:t>
            </w:r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proofErr w:type="spellStart"/>
            <w:proofErr w:type="gramStart"/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ауд</w:t>
            </w:r>
            <w:proofErr w:type="spellEnd"/>
            <w:proofErr w:type="gramEnd"/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2 «Сведения о предприятии и отрасли»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3 «Описание продукции (услуг)»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4 «Маркетинг и сбыт продукции (услуг)»: конкуренция, рынок сбыта продукции, цена продукции.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4 «Маркетинг и сбыт продукции (услуг)»: каналы сбыта продукции, стратегия продвижения на рынок, ценовая политика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5 «Производственный план»: месторасположение и земля, технология, качество и сертификация производства, производственные площади и помещения, оборудование, оснастка и инструмент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Заполнение Раздела 5 «Производственный план»: комплектующие и материалы, кадровое обеспечение, транспорт и связь, энергетическое и инженерное обеспечение,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экологичность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и безопасность производства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6 «Организационный план»: команда управления и ведущие специалисты, правовое обеспечение, партнеры по реализации проекта.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6 «Организационный план»: поддержка и льготы, организационная структура реализации проекта, график реализации проекта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нормативы для финансово-экономических расчетов, расходы на персонал, прямые расходы на производство продукции, постоянные расходы на производство продукции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калькуляция себестоимости продукции, смета затрат на проект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отчет о прибылях и убытках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прогнозный баланс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8 «Направленность и эффективность проекта»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9 «Риски и гарантии»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Презентация и защита проекта 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Презентация и защита проекта </w:t>
            </w:r>
          </w:p>
          <w:p w:rsidR="008F4537" w:rsidRPr="00E54F6E" w:rsidRDefault="008F4537" w:rsidP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54F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Презентация и защита проекта </w:t>
            </w:r>
            <w:r w:rsidR="009A69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(ауд)</w:t>
            </w:r>
          </w:p>
          <w:p w:rsidR="008F4537" w:rsidRDefault="008F4537">
            <w:pPr>
              <w:pStyle w:val="a3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реализации продукции и их эффективность.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 информация в процессе принятия стратегических решений.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безубыточности. Построение финансовой модели проекта.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Порог рентабельности и расчет «точки безубыточности».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чувствительности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бизнес-проекта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проекта. Расчет коэффициентов дисконтирования.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возможных рисков. Оценка вероятности возникновения рисков и ожидаемого ущерба.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Меры по сокращению числа рисков и минимизации потерь. 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Ранжирование рисков по вероятности возникновения.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эффективности инвестиционных бизнес - проектов. 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проекта.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 оценки потребностей в инвестициях и источников их финансирования.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проведения презентации бизнес-плана для различных видов деятельности.</w:t>
            </w:r>
          </w:p>
          <w:p w:rsidR="008F4537" w:rsidRDefault="008F45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14. Эффективность презентации и способы ее повышения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D6099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8F4537" w:rsidRDefault="008F4537" w:rsidP="008F4537">
      <w:pPr>
        <w:spacing w:after="0"/>
        <w:rPr>
          <w:rFonts w:ascii="Calibri" w:eastAsia="Calibri" w:hAnsi="Calibri" w:cs="Calibri"/>
          <w:lang w:eastAsia="ar-SA"/>
        </w:rPr>
        <w:sectPr w:rsidR="008F4537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8F4537" w:rsidRDefault="008F4537" w:rsidP="008F4537">
      <w:pPr>
        <w:spacing w:after="0"/>
        <w:rPr>
          <w:rFonts w:ascii="Calibri" w:eastAsia="Calibri" w:hAnsi="Calibri" w:cs="Calibri"/>
          <w:lang w:eastAsia="ar-SA"/>
        </w:rPr>
        <w:sectPr w:rsidR="008F4537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 xml:space="preserve">3. условия реализации </w:t>
      </w:r>
      <w:r w:rsidR="003F1604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 xml:space="preserve">Рабочей </w:t>
      </w: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>программы учебной дисциплины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Реализация учебной дисциплины требует наличия учебного кабинета на 25 посадочных мест.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рекомендуемых учебных изданий, Интернет-ресурсов, дополнительной литературы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Баринов, В.А. Бизнес-планирование: Уч. пособие. – 3-е изд. – М.: ФОРУМ, 2012. – 256 с.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Бизнес-планирование: Учебник для вузов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од ред. В.М Попова, С.И. Ляпунова,  С.Г.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Млодика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– М.: Финансы и статистика, 2012. – 816 с.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Головань, С.И. Бизнес-планирование / С.И. Головань – М.: Феникс, 2013. – 320 с.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Зингер, М. Презентация бизнес-плана: пример подготовки презентации [Электронный ресурс]. – Режим доступа: // (далее сюда копируйте и вставляете адрес сайта)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Липсиц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И.А. Бизнес-план – основа успеха: Практическое пособие / И.А.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Липсиц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2-е изд.,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и доп. – М.: Дело, 2012. – 112 с.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Дополнительные источники: 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Маркова, В.Д.  Бизнес-планирование / В.Д. Маркова, Н.А. Кравченко.- М.: Проспект, 2009. – 216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Морошкин, В. А.  Бизнес-планирование:   учебное   пособие / В. А. Морошкин, В. П. Буров. – М.:   ФОРУМ: ИНФРА-М, 2009. – 256 с. – (Профессиональное образо</w:t>
      </w:r>
      <w:r>
        <w:rPr>
          <w:rFonts w:ascii="Times New Roman" w:eastAsia="Times New Roman" w:hAnsi="Times New Roman" w:cs="Times New Roman"/>
          <w:lang w:eastAsia="ru-RU"/>
        </w:rPr>
        <w:softHyphen/>
        <w:t>вание).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Морошкин, В. А. Бизнес-планирование:   Учебное   пособие / В.А. Морошкин, В. П. Буров. – М.: ФОРУМ: ИНФРА-М, 2009. – 256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Орлова, Е.Р. Бизнес-план: основные проблемы и ошибки, возникающие при его написании / Е.Р. Орлова. – 2-е изд.,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и доп. – Омега-Л, 2012. – 152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Петухова, С.В. Бизнес – планирование / С.В. Петухова.- М.: Омега – Л, 2009. – 236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Платонова, Н.А. Планирование деятельности предприятия / Н.А Платонова, Т.В. Харитонова. – М.: Дело и сервис, 2005. – 432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Попов, В.Н. Бизнес – планирование / В.Н. Попов, С.И. Ляпунов.- М.: Финансы и статистика, 2009. – 246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Просветов, Г. И.     Бизнес-планирование: задачи и решения: учебно-практическое пособие / Г. И. Просветов. – 2-е изд., доп. – М.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Альфа-Пресс, 2008. – 255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Сборник бизнес-планов с комментариями и рекомендациями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 ред. В.М. Попова. – М.: Финансы и статистика, 2012. – 488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Сборник бизнес-планов: практическое пособие / ред. Ю. Н.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Лапыгин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– М.: Омега-Л, 2012. – 310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Составление бизнес-плана: нормы и рекомендации.- М.: Книга сервис, 2012. – 346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Уткин, Э.А. Бизнес-план компании / Э.А Уткин.- М.: Изд-во «ЭКМОС», 2012. – 102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Черняк, В.З. Бизнес планирование: Учебник для вузов.- М. ЮНИТИ-ДАНА, 2010. – 470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Шевчук, Д. А. Бизнес-планирование: учеб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особие / Д. А. Шев</w:t>
      </w:r>
      <w:r>
        <w:rPr>
          <w:rFonts w:ascii="Times New Roman" w:eastAsia="Times New Roman" w:hAnsi="Times New Roman" w:cs="Times New Roman"/>
          <w:lang w:eastAsia="ru-RU"/>
        </w:rPr>
        <w:softHyphen/>
        <w:t>чук. – Ростов н/Д.: Феникс, 2010. – 208 с.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>4. Контроль и оценка результатов освоения Дисциплины</w:t>
      </w: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Контроль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и оценка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работ, тестирования, а также выполнения </w:t>
      </w:r>
      <w:proofErr w:type="gramStart"/>
      <w:r>
        <w:rPr>
          <w:rFonts w:ascii="Times New Roman" w:eastAsia="Times New Roman" w:hAnsi="Times New Roman" w:cs="Calibri"/>
          <w:sz w:val="20"/>
          <w:szCs w:val="20"/>
          <w:lang w:eastAsia="ar-SA"/>
        </w:rPr>
        <w:t>обучающимися</w:t>
      </w:r>
      <w:proofErr w:type="gramEnd"/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индивидуальных заданий, проектов, исследований.</w:t>
      </w: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8F4537" w:rsidTr="008F453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8F4537" w:rsidRDefault="008F4537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8F4537" w:rsidTr="008F453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8F4537" w:rsidTr="008F4537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составлять бизнес-планы.</w:t>
            </w: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D60992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тестирование</w:t>
            </w:r>
          </w:p>
          <w:p w:rsidR="008F4537" w:rsidRDefault="008F4537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практические задания</w:t>
            </w:r>
          </w:p>
          <w:p w:rsidR="00D60992" w:rsidRDefault="00D60992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8F4537" w:rsidTr="008F453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60992" w:rsidTr="00242BF3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992" w:rsidRDefault="00D60992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 структуру бизнес-плана.</w:t>
            </w:r>
          </w:p>
          <w:p w:rsidR="00D60992" w:rsidRDefault="00D60992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60992" w:rsidRDefault="00D60992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тестирование</w:t>
            </w:r>
          </w:p>
          <w:p w:rsidR="00D60992" w:rsidRDefault="00D60992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устный опрос</w:t>
            </w:r>
          </w:p>
          <w:p w:rsidR="00D60992" w:rsidRDefault="00D60992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</w:t>
            </w:r>
            <w:proofErr w:type="gramEnd"/>
          </w:p>
          <w:p w:rsidR="00D60992" w:rsidRDefault="00D60992" w:rsidP="00242BF3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дифференцированный зачет</w:t>
            </w:r>
            <w:bookmarkStart w:id="0" w:name="_GoBack"/>
            <w:bookmarkEnd w:id="0"/>
          </w:p>
        </w:tc>
      </w:tr>
      <w:tr w:rsidR="00D60992" w:rsidTr="00242BF3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0992" w:rsidRDefault="00D60992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 сущность и значение бизнес-планирование;</w:t>
            </w:r>
          </w:p>
          <w:p w:rsidR="00D60992" w:rsidRDefault="00D60992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992" w:rsidRDefault="00D60992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F4537" w:rsidRDefault="008F4537" w:rsidP="008F4537"/>
    <w:p w:rsidR="008F4537" w:rsidRDefault="008F4537" w:rsidP="008F4537"/>
    <w:p w:rsidR="00F74322" w:rsidRDefault="00F74322"/>
    <w:sectPr w:rsidR="00F7432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8E" w:rsidRDefault="0045238E" w:rsidP="00E54F6E">
      <w:pPr>
        <w:spacing w:after="0" w:line="240" w:lineRule="auto"/>
      </w:pPr>
      <w:r>
        <w:separator/>
      </w:r>
    </w:p>
  </w:endnote>
  <w:endnote w:type="continuationSeparator" w:id="0">
    <w:p w:rsidR="0045238E" w:rsidRDefault="0045238E" w:rsidP="00E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963697"/>
      <w:docPartObj>
        <w:docPartGallery w:val="Page Numbers (Bottom of Page)"/>
        <w:docPartUnique/>
      </w:docPartObj>
    </w:sdtPr>
    <w:sdtEndPr/>
    <w:sdtContent>
      <w:p w:rsidR="00E54F6E" w:rsidRDefault="00E54F6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992">
          <w:rPr>
            <w:noProof/>
          </w:rPr>
          <w:t>10</w:t>
        </w:r>
        <w:r>
          <w:fldChar w:fldCharType="end"/>
        </w:r>
      </w:p>
    </w:sdtContent>
  </w:sdt>
  <w:p w:rsidR="00E54F6E" w:rsidRDefault="00E54F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8E" w:rsidRDefault="0045238E" w:rsidP="00E54F6E">
      <w:pPr>
        <w:spacing w:after="0" w:line="240" w:lineRule="auto"/>
      </w:pPr>
      <w:r>
        <w:separator/>
      </w:r>
    </w:p>
  </w:footnote>
  <w:footnote w:type="continuationSeparator" w:id="0">
    <w:p w:rsidR="0045238E" w:rsidRDefault="0045238E" w:rsidP="00E5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2946C8"/>
    <w:multiLevelType w:val="hybridMultilevel"/>
    <w:tmpl w:val="317CE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429C0"/>
    <w:multiLevelType w:val="multilevel"/>
    <w:tmpl w:val="CED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A739C"/>
    <w:multiLevelType w:val="multilevel"/>
    <w:tmpl w:val="CED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54424"/>
    <w:multiLevelType w:val="hybridMultilevel"/>
    <w:tmpl w:val="F72A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EE"/>
    <w:rsid w:val="00170314"/>
    <w:rsid w:val="001C06B0"/>
    <w:rsid w:val="003521FE"/>
    <w:rsid w:val="003F1604"/>
    <w:rsid w:val="0044391E"/>
    <w:rsid w:val="0045238E"/>
    <w:rsid w:val="00535933"/>
    <w:rsid w:val="007512EE"/>
    <w:rsid w:val="008F4537"/>
    <w:rsid w:val="009A6935"/>
    <w:rsid w:val="00B60034"/>
    <w:rsid w:val="00D15C9E"/>
    <w:rsid w:val="00D60992"/>
    <w:rsid w:val="00E54F6E"/>
    <w:rsid w:val="00F34080"/>
    <w:rsid w:val="00F74322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F6E"/>
  </w:style>
  <w:style w:type="paragraph" w:styleId="a6">
    <w:name w:val="footer"/>
    <w:basedOn w:val="a"/>
    <w:link w:val="a7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F6E"/>
  </w:style>
  <w:style w:type="paragraph" w:styleId="a8">
    <w:name w:val="Balloon Text"/>
    <w:basedOn w:val="a"/>
    <w:link w:val="a9"/>
    <w:uiPriority w:val="99"/>
    <w:semiHidden/>
    <w:unhideWhenUsed/>
    <w:rsid w:val="00E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F6E"/>
  </w:style>
  <w:style w:type="paragraph" w:styleId="a6">
    <w:name w:val="footer"/>
    <w:basedOn w:val="a"/>
    <w:link w:val="a7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F6E"/>
  </w:style>
  <w:style w:type="paragraph" w:styleId="a8">
    <w:name w:val="Balloon Text"/>
    <w:basedOn w:val="a"/>
    <w:link w:val="a9"/>
    <w:uiPriority w:val="99"/>
    <w:semiHidden/>
    <w:unhideWhenUsed/>
    <w:rsid w:val="00E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cp:lastPrinted>2015-12-07T05:38:00Z</cp:lastPrinted>
  <dcterms:created xsi:type="dcterms:W3CDTF">2015-12-07T05:32:00Z</dcterms:created>
  <dcterms:modified xsi:type="dcterms:W3CDTF">2017-02-25T03:14:00Z</dcterms:modified>
</cp:coreProperties>
</file>